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7E" w:rsidRPr="00EF73EF" w:rsidRDefault="00865E7E" w:rsidP="00EF7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Аналитическая справка</w:t>
      </w:r>
    </w:p>
    <w:p w:rsidR="00865E7E" w:rsidRPr="00EF73EF" w:rsidRDefault="00865E7E" w:rsidP="00EF7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 xml:space="preserve">о проведении оценки бюджетной, социальной и экономической эффективности налоговых льгот в сельском поселении </w:t>
      </w:r>
      <w:proofErr w:type="spellStart"/>
      <w:r w:rsidRPr="00EF73EF">
        <w:rPr>
          <w:rFonts w:ascii="Times New Roman" w:hAnsi="Times New Roman" w:cs="Times New Roman"/>
        </w:rPr>
        <w:t>Сингапай</w:t>
      </w:r>
      <w:proofErr w:type="spellEnd"/>
      <w:r w:rsidRPr="00EF73EF">
        <w:rPr>
          <w:rFonts w:ascii="Times New Roman" w:hAnsi="Times New Roman" w:cs="Times New Roman"/>
        </w:rPr>
        <w:t xml:space="preserve"> за 201</w:t>
      </w:r>
      <w:r w:rsidR="0010227F">
        <w:rPr>
          <w:rFonts w:ascii="Times New Roman" w:hAnsi="Times New Roman" w:cs="Times New Roman"/>
        </w:rPr>
        <w:t>6</w:t>
      </w:r>
      <w:r w:rsidRPr="00EF73EF">
        <w:rPr>
          <w:rFonts w:ascii="Times New Roman" w:hAnsi="Times New Roman" w:cs="Times New Roman"/>
        </w:rPr>
        <w:t xml:space="preserve"> год</w:t>
      </w:r>
    </w:p>
    <w:p w:rsidR="00865E7E" w:rsidRPr="00EF73EF" w:rsidRDefault="00865E7E" w:rsidP="00EF7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(предварительные данные)</w:t>
      </w:r>
    </w:p>
    <w:p w:rsidR="00865E7E" w:rsidRPr="00EF73EF" w:rsidRDefault="00865E7E" w:rsidP="00EF7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E7E" w:rsidRPr="00EF73EF" w:rsidRDefault="00865E7E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 xml:space="preserve">Порядок проведения оценки эффективности бюджетной, социальной и экономической эффективности применяемых (планируемых к предоставлению) налоговых льгот (далее – Порядок) осуществляется в соответствии с постановлением администрации сельского поселения </w:t>
      </w:r>
      <w:proofErr w:type="spellStart"/>
      <w:r w:rsidRPr="00EF73EF">
        <w:rPr>
          <w:rFonts w:ascii="Times New Roman" w:hAnsi="Times New Roman" w:cs="Times New Roman"/>
        </w:rPr>
        <w:t>Сингапай</w:t>
      </w:r>
      <w:proofErr w:type="spellEnd"/>
      <w:r w:rsidRPr="00EF73EF">
        <w:rPr>
          <w:rFonts w:ascii="Times New Roman" w:hAnsi="Times New Roman" w:cs="Times New Roman"/>
        </w:rPr>
        <w:t xml:space="preserve"> от </w:t>
      </w:r>
      <w:r w:rsidR="00985F28">
        <w:rPr>
          <w:rFonts w:ascii="Times New Roman" w:hAnsi="Times New Roman" w:cs="Times New Roman"/>
        </w:rPr>
        <w:t>09.11</w:t>
      </w:r>
      <w:r w:rsidRPr="00EF73EF">
        <w:rPr>
          <w:rFonts w:ascii="Times New Roman" w:hAnsi="Times New Roman" w:cs="Times New Roman"/>
        </w:rPr>
        <w:t xml:space="preserve">.2016 № </w:t>
      </w:r>
      <w:r w:rsidR="00985F28">
        <w:rPr>
          <w:rFonts w:ascii="Times New Roman" w:hAnsi="Times New Roman" w:cs="Times New Roman"/>
        </w:rPr>
        <w:t>423</w:t>
      </w:r>
      <w:r w:rsidRPr="00EF73EF">
        <w:rPr>
          <w:rFonts w:ascii="Times New Roman" w:hAnsi="Times New Roman" w:cs="Times New Roman"/>
        </w:rPr>
        <w:t xml:space="preserve"> «Об утверждении порядка оценки бюджетной, социальной и экономической эффективности применяемых (планируемых к предоставлению) налоговых льгот».</w:t>
      </w:r>
    </w:p>
    <w:p w:rsidR="00865E7E" w:rsidRPr="00EF73EF" w:rsidRDefault="00865E7E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Оценка бюджетной, социальной и экономической эффективности осуществляется в отношении налоговых льгот по налогам:</w:t>
      </w:r>
    </w:p>
    <w:p w:rsidR="00865E7E" w:rsidRPr="00EF73EF" w:rsidRDefault="00865E7E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- налог на землю;</w:t>
      </w:r>
    </w:p>
    <w:p w:rsidR="00865E7E" w:rsidRPr="00EF73EF" w:rsidRDefault="00865E7E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- налог на имущество физических лиц.</w:t>
      </w:r>
    </w:p>
    <w:p w:rsidR="00865E7E" w:rsidRPr="00EF73EF" w:rsidRDefault="00865E7E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Показателями оценки эффективности налоговых льгот являются бюджетная, социальная и экономическая эффективность.</w:t>
      </w:r>
    </w:p>
    <w:p w:rsidR="00865E7E" w:rsidRDefault="00865E7E" w:rsidP="00EF7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 xml:space="preserve">В соответствии с пунктом 2.4 постановления администрации сельского поселения </w:t>
      </w:r>
      <w:proofErr w:type="spellStart"/>
      <w:r w:rsidRPr="00EF73EF">
        <w:rPr>
          <w:rFonts w:ascii="Times New Roman" w:hAnsi="Times New Roman" w:cs="Times New Roman"/>
        </w:rPr>
        <w:t>Сингапай</w:t>
      </w:r>
      <w:proofErr w:type="spellEnd"/>
      <w:r w:rsidRPr="00EF73EF">
        <w:rPr>
          <w:rFonts w:ascii="Times New Roman" w:hAnsi="Times New Roman" w:cs="Times New Roman"/>
        </w:rPr>
        <w:t xml:space="preserve"> от </w:t>
      </w:r>
      <w:r w:rsidR="00B01706">
        <w:rPr>
          <w:rFonts w:ascii="Times New Roman" w:hAnsi="Times New Roman" w:cs="Times New Roman"/>
        </w:rPr>
        <w:t>09.11</w:t>
      </w:r>
      <w:r w:rsidRPr="00EF73EF">
        <w:rPr>
          <w:rFonts w:ascii="Times New Roman" w:hAnsi="Times New Roman" w:cs="Times New Roman"/>
        </w:rPr>
        <w:t xml:space="preserve">.2016 № </w:t>
      </w:r>
      <w:r w:rsidR="00B01706">
        <w:rPr>
          <w:rFonts w:ascii="Times New Roman" w:hAnsi="Times New Roman" w:cs="Times New Roman"/>
        </w:rPr>
        <w:t>423</w:t>
      </w:r>
      <w:r w:rsidRPr="00EF73EF">
        <w:rPr>
          <w:rFonts w:ascii="Times New Roman" w:hAnsi="Times New Roman" w:cs="Times New Roman"/>
        </w:rPr>
        <w:t xml:space="preserve"> «Об утверждении порядка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</w:t>
      </w:r>
      <w:hyperlink r:id="rId7" w:history="1">
        <w:r w:rsidRPr="00EF73EF">
          <w:rPr>
            <w:rStyle w:val="a6"/>
            <w:rFonts w:ascii="Times New Roman" w:hAnsi="Times New Roman" w:cs="Times New Roman"/>
          </w:rPr>
          <w:t>Законом</w:t>
        </w:r>
      </w:hyperlink>
      <w:r w:rsidRPr="00EF73EF">
        <w:rPr>
          <w:rFonts w:ascii="Times New Roman" w:hAnsi="Times New Roman" w:cs="Times New Roman"/>
        </w:rPr>
        <w:t xml:space="preserve"> Ханты-Мансийского автономного округа от 04.12.2001 № 85-оз «О традиционных видах деятельности коренных малочисленных народов Севера в Ханты-Мансийском автономном округе» и физических лиц оценка бюджетной и экономической эффективности налоговых льгот не проводится».</w:t>
      </w:r>
    </w:p>
    <w:p w:rsidR="00EF73EF" w:rsidRPr="00EF73EF" w:rsidRDefault="00EF73EF" w:rsidP="00EF7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E7E" w:rsidRPr="00EF73EF" w:rsidRDefault="00865E7E" w:rsidP="00EF7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73EF">
        <w:rPr>
          <w:rFonts w:ascii="Times New Roman" w:hAnsi="Times New Roman" w:cs="Times New Roman"/>
          <w:b/>
        </w:rPr>
        <w:t>Земельный налог</w:t>
      </w:r>
    </w:p>
    <w:p w:rsidR="00865E7E" w:rsidRPr="00EF73EF" w:rsidRDefault="00865E7E" w:rsidP="00102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 xml:space="preserve">В соответствии с гл.31 раздела </w:t>
      </w:r>
      <w:r w:rsidRPr="00EF73EF">
        <w:rPr>
          <w:rFonts w:ascii="Times New Roman" w:hAnsi="Times New Roman" w:cs="Times New Roman"/>
          <w:lang w:val="en-US"/>
        </w:rPr>
        <w:t>X</w:t>
      </w:r>
      <w:r w:rsidRPr="00EF73EF">
        <w:rPr>
          <w:rFonts w:ascii="Times New Roman" w:hAnsi="Times New Roman" w:cs="Times New Roman"/>
        </w:rPr>
        <w:t xml:space="preserve">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образования.</w:t>
      </w:r>
    </w:p>
    <w:p w:rsidR="0010227F" w:rsidRPr="00EF73EF" w:rsidRDefault="00865E7E" w:rsidP="00102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 xml:space="preserve">В соответствии со ст.387 Налогового кодекса Российской Федерации устанавливая налог, представительный орган муниципального образования определяет налоговые ставки в пределах, установленных Налоговым кодексом, порядок и сроки уплаты налога, также могут устанавливаться налоговые льготы, основания и порядок их применения.   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Решением Совета депутатов сельского поселения </w:t>
      </w:r>
      <w:proofErr w:type="spellStart"/>
      <w:r w:rsidRPr="00EF73EF">
        <w:rPr>
          <w:rFonts w:ascii="Times New Roman" w:hAnsi="Times New Roman" w:cs="Times New Roman"/>
          <w:color w:val="000000"/>
        </w:rPr>
        <w:t>Сингапай</w:t>
      </w:r>
      <w:proofErr w:type="spellEnd"/>
      <w:r w:rsidRPr="00EF73EF">
        <w:rPr>
          <w:rFonts w:ascii="Times New Roman" w:hAnsi="Times New Roman" w:cs="Times New Roman"/>
          <w:color w:val="000000"/>
        </w:rPr>
        <w:t xml:space="preserve"> от 13.11.2014   № 14 «Об установлении ставок земельного налога на территории муниципального образования сельское поселение </w:t>
      </w:r>
      <w:proofErr w:type="spellStart"/>
      <w:proofErr w:type="gramStart"/>
      <w:r w:rsidRPr="00EF73EF">
        <w:rPr>
          <w:rFonts w:ascii="Times New Roman" w:hAnsi="Times New Roman" w:cs="Times New Roman"/>
          <w:color w:val="000000"/>
        </w:rPr>
        <w:t>Сингапай</w:t>
      </w:r>
      <w:proofErr w:type="spellEnd"/>
      <w:r w:rsidRPr="00EF73EF">
        <w:rPr>
          <w:rFonts w:ascii="Times New Roman" w:hAnsi="Times New Roman" w:cs="Times New Roman"/>
          <w:color w:val="000000"/>
        </w:rPr>
        <w:t>»</w:t>
      </w:r>
      <w:r w:rsidR="00985F28">
        <w:rPr>
          <w:rFonts w:ascii="Times New Roman" w:hAnsi="Times New Roman" w:cs="Times New Roman"/>
          <w:color w:val="000000"/>
        </w:rPr>
        <w:t>(</w:t>
      </w:r>
      <w:proofErr w:type="gramEnd"/>
      <w:r w:rsidR="00985F28">
        <w:rPr>
          <w:rFonts w:ascii="Times New Roman" w:hAnsi="Times New Roman" w:cs="Times New Roman"/>
          <w:color w:val="000000"/>
        </w:rPr>
        <w:t xml:space="preserve"> в редакции на 16.02.2015 №30, 06.10.2016 №136)</w:t>
      </w:r>
      <w:r w:rsidRPr="00EF73EF">
        <w:rPr>
          <w:rFonts w:ascii="Times New Roman" w:hAnsi="Times New Roman" w:cs="Times New Roman"/>
          <w:color w:val="000000"/>
        </w:rPr>
        <w:t xml:space="preserve"> установлены льготные категории налогоплательщиков: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</w:rPr>
      </w:pPr>
      <w:r w:rsidRPr="00EF73EF">
        <w:rPr>
          <w:rFonts w:ascii="Times New Roman" w:hAnsi="Times New Roman" w:cs="Times New Roman"/>
          <w:b/>
          <w:i/>
          <w:color w:val="000000"/>
        </w:rPr>
        <w:t>в размере 100% юридические лица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- муниципальные учреждения, финансируемые из бюджета муниципального образования </w:t>
      </w:r>
      <w:proofErr w:type="spellStart"/>
      <w:r w:rsidRPr="00EF73EF">
        <w:rPr>
          <w:rFonts w:ascii="Times New Roman" w:hAnsi="Times New Roman" w:cs="Times New Roman"/>
          <w:color w:val="000000"/>
        </w:rPr>
        <w:t>Нефтеюганский</w:t>
      </w:r>
      <w:proofErr w:type="spellEnd"/>
      <w:r w:rsidRPr="00EF73EF">
        <w:rPr>
          <w:rFonts w:ascii="Times New Roman" w:hAnsi="Times New Roman" w:cs="Times New Roman"/>
          <w:color w:val="000000"/>
        </w:rPr>
        <w:t xml:space="preserve"> район и муниципального образования сельское поселение </w:t>
      </w:r>
      <w:proofErr w:type="spellStart"/>
      <w:r w:rsidRPr="00EF73EF">
        <w:rPr>
          <w:rFonts w:ascii="Times New Roman" w:hAnsi="Times New Roman" w:cs="Times New Roman"/>
          <w:color w:val="000000"/>
        </w:rPr>
        <w:t>Сингапай</w:t>
      </w:r>
      <w:proofErr w:type="spellEnd"/>
      <w:r w:rsidRPr="00EF73EF">
        <w:rPr>
          <w:rFonts w:ascii="Times New Roman" w:hAnsi="Times New Roman" w:cs="Times New Roman"/>
          <w:color w:val="000000"/>
        </w:rPr>
        <w:t xml:space="preserve"> – в отношении земельных участков, используемых ими для непосредственного выполнения возложенных на них функций;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>- бюджетные и казенные учреждения, финансируемые из бюджета Ханты-Мансийского автономного округа – Югры.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</w:rPr>
      </w:pPr>
      <w:r w:rsidRPr="00EF73EF">
        <w:rPr>
          <w:rFonts w:ascii="Times New Roman" w:hAnsi="Times New Roman" w:cs="Times New Roman"/>
          <w:b/>
          <w:i/>
          <w:color w:val="000000"/>
        </w:rPr>
        <w:t>в размере 100% физические лица, в отношении земельных участков, не используемых ими в предпринимательской деятельности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- Герои Советского Союза, Герои Российской Федерации, полные кавалеры ордена Славы; 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>- ветераны, инвалиды и участники Великой Отечественной войны, а также ветераны и инвалиды боевых действий;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 - инвалиды I и II группы, а также неработающие инвалиды III группы;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 - инвалиды с детства;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 - граждане, имеющие детей-инвалидов, проживающих совместно с ними и не достигших возраста 18 лет;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 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</w:t>
      </w:r>
      <w:r w:rsidRPr="00EF73EF">
        <w:rPr>
          <w:rFonts w:ascii="Times New Roman" w:hAnsi="Times New Roman" w:cs="Times New Roman"/>
          <w:color w:val="000000"/>
        </w:rPr>
        <w:lastRenderedPageBreak/>
        <w:t xml:space="preserve">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F73EF">
        <w:rPr>
          <w:rFonts w:ascii="Times New Roman" w:hAnsi="Times New Roman" w:cs="Times New Roman"/>
          <w:color w:val="000000"/>
        </w:rPr>
        <w:t>Теча</w:t>
      </w:r>
      <w:proofErr w:type="spellEnd"/>
      <w:r w:rsidRPr="00EF73EF">
        <w:rPr>
          <w:rFonts w:ascii="Times New Roman" w:hAnsi="Times New Roman" w:cs="Times New Roman"/>
          <w:color w:val="000000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 xml:space="preserve"> 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>-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24"/>
        </w:rPr>
      </w:pPr>
      <w:r w:rsidRPr="00EF73EF">
        <w:rPr>
          <w:rFonts w:ascii="Times New Roman" w:hAnsi="Times New Roman" w:cs="Times New Roman"/>
          <w:color w:val="000000"/>
        </w:rPr>
        <w:t xml:space="preserve">- пенсионеры, </w:t>
      </w:r>
      <w:r w:rsidRPr="00EF73EF">
        <w:rPr>
          <w:rFonts w:ascii="Times New Roman" w:hAnsi="Times New Roman" w:cs="Times New Roman"/>
          <w:color w:val="000000"/>
          <w:kern w:val="24"/>
        </w:rPr>
        <w:t>получившие пенсии, назначенные в порядке, установленном пенсионным законодательством Российской Федерации;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>- неработающие трудоспособные лица, осуществляющие уход за инвалидами 1 группы или престарелыми, нуждающимися в постороннем уходе по заключению лечебного учреждения;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>- товарищество собственников жилья;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73EF">
        <w:rPr>
          <w:rFonts w:ascii="Times New Roman" w:hAnsi="Times New Roman" w:cs="Times New Roman"/>
          <w:color w:val="000000"/>
        </w:rPr>
        <w:t>- некоммерческие организации всех форм собственности.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84A8A" w:rsidRPr="00EF73EF" w:rsidRDefault="00D84A8A" w:rsidP="00EF73E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</w:rPr>
      </w:pPr>
      <w:r w:rsidRPr="00EF73EF">
        <w:rPr>
          <w:rFonts w:ascii="Times New Roman" w:hAnsi="Times New Roman" w:cs="Times New Roman"/>
          <w:b/>
          <w:i/>
          <w:color w:val="000000"/>
        </w:rPr>
        <w:t>в размере 50%</w:t>
      </w:r>
    </w:p>
    <w:p w:rsidR="00D84A8A" w:rsidRPr="00EF73EF" w:rsidRDefault="00D84A8A" w:rsidP="00EF73EF">
      <w:pPr>
        <w:pStyle w:val="a7"/>
        <w:ind w:firstLine="851"/>
        <w:jc w:val="both"/>
        <w:rPr>
          <w:rFonts w:ascii="Times New Roman" w:hAnsi="Times New Roman"/>
          <w:color w:val="000000"/>
        </w:rPr>
      </w:pPr>
      <w:r w:rsidRPr="00EF73EF">
        <w:rPr>
          <w:rFonts w:ascii="Times New Roman" w:hAnsi="Times New Roman"/>
          <w:color w:val="000000"/>
        </w:rPr>
        <w:t>- физические и юридические лица в отношении земельных участков, предоставленных для ведения крестьянских (фермерских) хозяйств либо осуществления предпринимательской деятельности в сфере сельского хозяйства</w:t>
      </w:r>
    </w:p>
    <w:p w:rsidR="00D84A8A" w:rsidRPr="00EF73EF" w:rsidRDefault="00D84A8A" w:rsidP="00EF7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EF73EF">
        <w:rPr>
          <w:rFonts w:ascii="Times New Roman" w:hAnsi="Times New Roman" w:cs="Times New Roman"/>
          <w:color w:val="000000"/>
        </w:rPr>
        <w:t xml:space="preserve">- физические лица, имеющие на иждивении трех и более несовершеннолетних детей, не достигших возраста 18 лет, </w:t>
      </w:r>
      <w:r w:rsidRPr="00EF73EF">
        <w:rPr>
          <w:rFonts w:ascii="Times New Roman" w:eastAsia="Calibri" w:hAnsi="Times New Roman" w:cs="Times New Roman"/>
          <w:color w:val="000000"/>
          <w:lang w:eastAsia="en-US"/>
        </w:rPr>
        <w:t>в отношении земельных участков, не используемых ими в предпринимательской деятельности;</w:t>
      </w:r>
    </w:p>
    <w:p w:rsidR="00D84A8A" w:rsidRPr="00EF73EF" w:rsidRDefault="00D84A8A" w:rsidP="00EF73EF">
      <w:pPr>
        <w:pStyle w:val="a7"/>
        <w:ind w:firstLine="851"/>
        <w:jc w:val="both"/>
        <w:rPr>
          <w:rFonts w:ascii="Times New Roman" w:hAnsi="Times New Roman"/>
          <w:color w:val="000000"/>
        </w:rPr>
      </w:pPr>
      <w:r w:rsidRPr="00EF73EF">
        <w:rPr>
          <w:rFonts w:ascii="Times New Roman" w:hAnsi="Times New Roman"/>
          <w:color w:val="000000"/>
        </w:rPr>
        <w:t>- добровольная пожарная дружина и члены их семей (членами семьи признаются дети и жены).</w:t>
      </w:r>
    </w:p>
    <w:p w:rsidR="00D84A8A" w:rsidRPr="00EF73EF" w:rsidRDefault="00D84A8A" w:rsidP="00EF73EF">
      <w:pPr>
        <w:pStyle w:val="a9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1.1.</w:t>
      </w:r>
      <w:r w:rsidRPr="0010227F">
        <w:rPr>
          <w:rFonts w:ascii="Times New Roman" w:hAnsi="Times New Roman" w:cs="Times New Roman"/>
        </w:rPr>
        <w:tab/>
        <w:t>Земельный налог по юридическим лицам</w:t>
      </w:r>
    </w:p>
    <w:p w:rsid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Динамика по налоговой базе и структуре начислений</w:t>
      </w:r>
    </w:p>
    <w:p w:rsid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по земельному налогу по юридическим лицам</w:t>
      </w:r>
    </w:p>
    <w:tbl>
      <w:tblPr>
        <w:tblStyle w:val="ad"/>
        <w:tblpPr w:leftFromText="180" w:rightFromText="180" w:vertAnchor="page" w:horzAnchor="margin" w:tblpY="9625"/>
        <w:tblW w:w="9606" w:type="dxa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6"/>
        <w:gridCol w:w="1559"/>
      </w:tblGrid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Темп роста (снижения), %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105,26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которыми исчислен налог и не применяющих налоговые льготы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103,33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применяющих налоговые льготы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112,5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105,66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земельных участков, в отношении которых налогоплательщиками исчислен земельный налог к уплате,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122,86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Налоговая база (кадастровая стоимость), 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247 539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343 415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138,73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Сумма налога, подлежащая уплате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в бюджет, </w:t>
            </w:r>
            <w:proofErr w:type="spellStart"/>
            <w:r w:rsidRPr="0010227F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10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125,31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в связи с предоставлением налогоплательщикам льгот по налогу,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62,82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льгот, установленных нормативными правовыми актами органов местного самоуправления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21,15</w:t>
            </w:r>
          </w:p>
        </w:tc>
      </w:tr>
    </w:tbl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В 2016 году количество налогоплательщиков составило 40 единиц, в том числе по 9 налогоплательщикам применены налоговые льготы.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Количество земельных участков, учтенных в базе данных налоговых органов, составило 56 единиц, из них по 43 исчислен земельный налог.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Сумма налога, подлежащая уплате в бюджет, составила 343 415тыс. рублей. Представлено льгот на сумму 566 тыс. рублей, в том числе: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-          по льготам, установленным НК РФ 474 тыс. рублей;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-          по льготам, установленным нормативным правовым актом органа местного самоуправления (решение Совета депутатов сельского поселения </w:t>
      </w:r>
      <w:proofErr w:type="spellStart"/>
      <w:r w:rsidRPr="0010227F">
        <w:rPr>
          <w:rFonts w:ascii="Times New Roman" w:hAnsi="Times New Roman" w:cs="Times New Roman"/>
        </w:rPr>
        <w:t>Сингапай</w:t>
      </w:r>
      <w:proofErr w:type="spellEnd"/>
      <w:r w:rsidRPr="0010227F">
        <w:rPr>
          <w:rFonts w:ascii="Times New Roman" w:hAnsi="Times New Roman" w:cs="Times New Roman"/>
        </w:rPr>
        <w:t xml:space="preserve">) 92 тыс. рублей.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Льготы, предоставленные решением Совета депутатов сельского поселения </w:t>
      </w:r>
      <w:proofErr w:type="spellStart"/>
      <w:r w:rsidRPr="0010227F">
        <w:rPr>
          <w:rFonts w:ascii="Times New Roman" w:hAnsi="Times New Roman" w:cs="Times New Roman"/>
        </w:rPr>
        <w:t>Сингапай</w:t>
      </w:r>
      <w:proofErr w:type="spellEnd"/>
      <w:r w:rsidRPr="0010227F">
        <w:rPr>
          <w:rFonts w:ascii="Times New Roman" w:hAnsi="Times New Roman" w:cs="Times New Roman"/>
        </w:rPr>
        <w:t xml:space="preserve">: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В соответствии с пунктом 2.4. постановления администрации сельского поселения </w:t>
      </w:r>
      <w:proofErr w:type="spellStart"/>
      <w:r w:rsidRPr="0010227F">
        <w:rPr>
          <w:rFonts w:ascii="Times New Roman" w:hAnsi="Times New Roman" w:cs="Times New Roman"/>
        </w:rPr>
        <w:t>Сингапай</w:t>
      </w:r>
      <w:proofErr w:type="spellEnd"/>
      <w:r w:rsidRPr="0010227F">
        <w:rPr>
          <w:rFonts w:ascii="Times New Roman" w:hAnsi="Times New Roman" w:cs="Times New Roman"/>
        </w:rPr>
        <w:t xml:space="preserve"> от 09.11.2016 №423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04.12.2001 № 85-оз «О традиционных видах деятельности коренных малочисленных народов Севера в Ханты-Мансийском автономном округе», оценка бюджетной и экономической эффективности налоговых льгот не проводится.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С целью минимизации потерь сельского поселения </w:t>
      </w:r>
      <w:proofErr w:type="spellStart"/>
      <w:r w:rsidRPr="0010227F">
        <w:rPr>
          <w:rFonts w:ascii="Times New Roman" w:hAnsi="Times New Roman" w:cs="Times New Roman"/>
        </w:rPr>
        <w:t>Сингапай</w:t>
      </w:r>
      <w:proofErr w:type="spellEnd"/>
      <w:r w:rsidRPr="0010227F">
        <w:rPr>
          <w:rFonts w:ascii="Times New Roman" w:hAnsi="Times New Roman" w:cs="Times New Roman"/>
        </w:rPr>
        <w:t>, а также с целью увеличения собственных доходов поселения предлагаем отменить льготу по земельному налогу для бюджетных и казенных учреждений, финансируемых из бюджета Ханты-Мансийского автономного округа – Югры.</w:t>
      </w:r>
    </w:p>
    <w:p w:rsid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1.2. Земельный налог по физическим лицам</w:t>
      </w:r>
    </w:p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Динамика по налоговой базе и структуре начислений</w:t>
      </w:r>
    </w:p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по земельному налогу по физическим лицам</w:t>
      </w:r>
    </w:p>
    <w:tbl>
      <w:tblPr>
        <w:tblStyle w:val="ad"/>
        <w:tblpPr w:leftFromText="180" w:rightFromText="180" w:vertAnchor="page" w:horzAnchor="margin" w:tblpY="8965"/>
        <w:tblW w:w="9606" w:type="dxa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6"/>
        <w:gridCol w:w="1559"/>
      </w:tblGrid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Темп роста (снижения), %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150,00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которыми исчислен налог и не применяющих налоговые льготы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131,33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которым предоставлены налоговые льготы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40,26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земельных участков, учтенных в  базе данных налоговых органов,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115,15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Количество земельных участков,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по которым предъявлен налог к уплате,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129,79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Кадастровая стоимость, 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66 233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63 877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96,44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Сумма налога, подлежащая уплате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бюджет, 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155,41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в связи с предоставлением налогоплательщикам льгот по налогу,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170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</w:tr>
      <w:tr w:rsidR="0010227F" w:rsidRPr="0010227F" w:rsidTr="0010227F">
        <w:trPr>
          <w:trHeight w:val="878"/>
        </w:trPr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льгот, установленных нормативными правовыми актами органов местного самоуправления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170</w:t>
            </w:r>
          </w:p>
        </w:tc>
      </w:tr>
    </w:tbl>
    <w:p w:rsidR="0010227F" w:rsidRDefault="0010227F" w:rsidP="00102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lastRenderedPageBreak/>
        <w:t xml:space="preserve">В 2016 году количество налогоплательщиков составило 902 единиц, в том числе 216 налогоплательщикам предоставлены налоговые льготы.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Количество земельных участков, учтенных в базе данных налоговых органов, составило 889 единицы, из них по 697 предъявлен налог к уплате.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Сумма налога, подлежащая уплате в бюджет, составила 244 тыс. рублей. Представлено льгот на сумму 34 тыс. рублей, в том числе: 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-          по льготам, установленным нормативным правовым актом органа местного самоуправления 34 тыс. рублей.</w:t>
      </w:r>
    </w:p>
    <w:p w:rsidR="0010227F" w:rsidRPr="0010227F" w:rsidRDefault="0010227F" w:rsidP="00102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 xml:space="preserve">В соответствии с пунктом 2.4. постановления администрации сельского поселения </w:t>
      </w:r>
      <w:proofErr w:type="spellStart"/>
      <w:r w:rsidRPr="0010227F">
        <w:rPr>
          <w:rFonts w:ascii="Times New Roman" w:hAnsi="Times New Roman" w:cs="Times New Roman"/>
        </w:rPr>
        <w:t>Сингапай</w:t>
      </w:r>
      <w:proofErr w:type="spellEnd"/>
      <w:r w:rsidRPr="0010227F">
        <w:rPr>
          <w:rFonts w:ascii="Times New Roman" w:hAnsi="Times New Roman" w:cs="Times New Roman"/>
        </w:rPr>
        <w:t xml:space="preserve"> от 09.11.2016 №423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04.12.2001 № 85-оз «О традиционных видах деятельности коренных малочисленных народов Севера в Ханты-Мансийском автономном округе», оценка бюджетной и экономической эффективности налоговых льгот не проводится.</w:t>
      </w:r>
    </w:p>
    <w:p w:rsidR="0010227F" w:rsidRDefault="0010227F" w:rsidP="00EF73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10227F" w:rsidRDefault="0010227F" w:rsidP="00EF73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865E7E" w:rsidRDefault="00865E7E" w:rsidP="00EF73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F73EF">
        <w:rPr>
          <w:rFonts w:ascii="Times New Roman" w:hAnsi="Times New Roman" w:cs="Times New Roman"/>
          <w:b/>
        </w:rPr>
        <w:t>Налог на имущество физических лиц</w:t>
      </w:r>
    </w:p>
    <w:p w:rsidR="0010227F" w:rsidRPr="00EF73EF" w:rsidRDefault="0010227F" w:rsidP="00EF73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865E7E" w:rsidRPr="00EF73EF" w:rsidRDefault="00865E7E" w:rsidP="00EF73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  <w:bCs/>
        </w:rPr>
        <w:t xml:space="preserve">В  соответствии с </w:t>
      </w:r>
      <w:r w:rsidRPr="00EF73EF">
        <w:rPr>
          <w:rFonts w:ascii="Times New Roman" w:hAnsi="Times New Roman" w:cs="Times New Roman"/>
        </w:rPr>
        <w:t xml:space="preserve"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 w:rsidRPr="00EF73EF">
        <w:rPr>
          <w:rFonts w:ascii="Times New Roman" w:hAnsi="Times New Roman" w:cs="Times New Roman"/>
          <w:bCs/>
        </w:rPr>
        <w:t xml:space="preserve">Федеральным законом от 06.11.200  № 131-ФЗ «Об общих принципах организации местного самоуправления в Российской Федерации», </w:t>
      </w:r>
      <w:r w:rsidRPr="00EF73EF">
        <w:rPr>
          <w:rFonts w:ascii="Times New Roman" w:hAnsi="Times New Roman" w:cs="Times New Roman"/>
        </w:rPr>
        <w:t xml:space="preserve">законом Ханты-Мансийского автономного округа – Югры </w:t>
      </w:r>
      <w:r w:rsidRPr="00EF73EF">
        <w:rPr>
          <w:rFonts w:ascii="Times New Roman" w:hAnsi="Times New Roman" w:cs="Times New Roman"/>
          <w:bCs/>
        </w:rPr>
        <w:t xml:space="preserve">от 17.10.2014 № 81-оз </w:t>
      </w:r>
      <w:r w:rsidRPr="00EF73EF">
        <w:rPr>
          <w:rFonts w:ascii="Times New Roman" w:hAnsi="Times New Roman" w:cs="Times New Roman"/>
        </w:rPr>
        <w:t xml:space="preserve">«Об установлении единой даты начала применения за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 принято </w:t>
      </w:r>
      <w:r w:rsidR="00EF73EF" w:rsidRPr="00EF73EF">
        <w:rPr>
          <w:rFonts w:ascii="Times New Roman" w:hAnsi="Times New Roman" w:cs="Times New Roman"/>
        </w:rPr>
        <w:t xml:space="preserve">Решение Советов депутатов сельского поселения </w:t>
      </w:r>
      <w:proofErr w:type="spellStart"/>
      <w:r w:rsidR="00EF73EF" w:rsidRPr="00EF73EF">
        <w:rPr>
          <w:rFonts w:ascii="Times New Roman" w:hAnsi="Times New Roman" w:cs="Times New Roman"/>
        </w:rPr>
        <w:t>Сингапай</w:t>
      </w:r>
      <w:proofErr w:type="spellEnd"/>
      <w:r w:rsidR="00EF73EF" w:rsidRPr="00EF73EF">
        <w:rPr>
          <w:rFonts w:ascii="Times New Roman" w:hAnsi="Times New Roman" w:cs="Times New Roman"/>
        </w:rPr>
        <w:t xml:space="preserve"> от 27.11.2014 № 19  «Об установлении ставок налога на имущество физических лиц на территории сельского поселения </w:t>
      </w:r>
      <w:proofErr w:type="spellStart"/>
      <w:r w:rsidR="00EF73EF" w:rsidRPr="00EF73EF">
        <w:rPr>
          <w:rFonts w:ascii="Times New Roman" w:hAnsi="Times New Roman" w:cs="Times New Roman"/>
        </w:rPr>
        <w:t>Сингапай</w:t>
      </w:r>
      <w:proofErr w:type="spellEnd"/>
      <w:r w:rsidR="00EF73EF" w:rsidRPr="00EF73EF">
        <w:rPr>
          <w:rFonts w:ascii="Times New Roman" w:hAnsi="Times New Roman" w:cs="Times New Roman"/>
        </w:rPr>
        <w:t>» (в редакции на 06.10.2016 № 137),</w:t>
      </w:r>
      <w:r w:rsidRPr="00EF73EF">
        <w:rPr>
          <w:rFonts w:ascii="Times New Roman" w:hAnsi="Times New Roman" w:cs="Times New Roman"/>
        </w:rPr>
        <w:t xml:space="preserve"> исходя из кадастровой стоимости объектов, утверждены ставки налога. </w:t>
      </w:r>
    </w:p>
    <w:p w:rsidR="00EF73EF" w:rsidRPr="00EF73EF" w:rsidRDefault="00EF73EF" w:rsidP="00EF73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3EF">
        <w:rPr>
          <w:rFonts w:ascii="Times New Roman" w:hAnsi="Times New Roman" w:cs="Times New Roman"/>
          <w:spacing w:val="-1"/>
          <w:sz w:val="22"/>
          <w:szCs w:val="22"/>
        </w:rPr>
        <w:t>Освобождаются от налогообложения</w:t>
      </w:r>
    </w:p>
    <w:p w:rsidR="00EF73EF" w:rsidRPr="00EF73EF" w:rsidRDefault="00EF73EF" w:rsidP="00EF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3EF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1) </w:t>
      </w:r>
      <w:r w:rsidRPr="00EF73EF">
        <w:rPr>
          <w:rFonts w:ascii="Times New Roman" w:hAnsi="Times New Roman" w:cs="Times New Roman"/>
          <w:sz w:val="22"/>
          <w:szCs w:val="22"/>
        </w:rPr>
        <w:t>представители коренных малочисленных народов Севера, проживающие в районах традиционного проживания малочисленных народов Севера и сохраняющие традиционные: образ жизни, хозяйствование и промыслы;</w:t>
      </w:r>
    </w:p>
    <w:p w:rsidR="00EF73EF" w:rsidRPr="00EF73EF" w:rsidRDefault="00EF73EF" w:rsidP="00EF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3EF">
        <w:rPr>
          <w:rFonts w:ascii="Times New Roman" w:hAnsi="Times New Roman" w:cs="Times New Roman"/>
          <w:sz w:val="22"/>
          <w:szCs w:val="22"/>
        </w:rPr>
        <w:t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73EF" w:rsidRPr="00EF73EF" w:rsidRDefault="00EF73EF" w:rsidP="00EF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3EF">
        <w:rPr>
          <w:rFonts w:ascii="Times New Roman" w:hAnsi="Times New Roman" w:cs="Times New Roman"/>
          <w:sz w:val="22"/>
          <w:szCs w:val="22"/>
        </w:rPr>
        <w:t xml:space="preserve">3) дети-сироты и опекаемые дети, не достигшие 18 летнего возраста на принадлежащую им долю имущества или граждане, проживающие на территории сельского поселения </w:t>
      </w:r>
      <w:proofErr w:type="spellStart"/>
      <w:r w:rsidRPr="00EF73EF">
        <w:rPr>
          <w:rFonts w:ascii="Times New Roman" w:hAnsi="Times New Roman" w:cs="Times New Roman"/>
          <w:sz w:val="22"/>
          <w:szCs w:val="22"/>
        </w:rPr>
        <w:t>Сингапай</w:t>
      </w:r>
      <w:proofErr w:type="spellEnd"/>
      <w:r w:rsidRPr="00EF73EF">
        <w:rPr>
          <w:rFonts w:ascii="Times New Roman" w:hAnsi="Times New Roman" w:cs="Times New Roman"/>
          <w:sz w:val="22"/>
          <w:szCs w:val="22"/>
        </w:rPr>
        <w:t xml:space="preserve"> не достигшие 23 летнего возраста, которые до достижения ими совершеннолетнего возраста относились к категории дети – сироты и опекаемые дети, на принадлежащую им долю имущества.</w:t>
      </w:r>
    </w:p>
    <w:p w:rsidR="00EF73EF" w:rsidRPr="00EF73EF" w:rsidRDefault="00EF73EF" w:rsidP="00EF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3EF">
        <w:rPr>
          <w:rFonts w:ascii="Times New Roman" w:hAnsi="Times New Roman" w:cs="Times New Roman"/>
          <w:sz w:val="22"/>
          <w:szCs w:val="22"/>
        </w:rPr>
        <w:t xml:space="preserve">4) многодетные семьи, воспитывающие трех и более детей, в том числе находящихся под опекой (попечительством), в возрасте до 18 лет, при наличии удостоверения регламентирующего статус многодетной семьи из числа граждан Российской Федерации, проживающих на территории сельского поселения </w:t>
      </w:r>
      <w:proofErr w:type="spellStart"/>
      <w:r w:rsidRPr="00EF73EF">
        <w:rPr>
          <w:rFonts w:ascii="Times New Roman" w:hAnsi="Times New Roman" w:cs="Times New Roman"/>
          <w:sz w:val="22"/>
          <w:szCs w:val="22"/>
        </w:rPr>
        <w:t>Сингапай</w:t>
      </w:r>
      <w:proofErr w:type="spellEnd"/>
      <w:r w:rsidRPr="00EF73EF">
        <w:rPr>
          <w:rFonts w:ascii="Times New Roman" w:hAnsi="Times New Roman" w:cs="Times New Roman"/>
          <w:sz w:val="22"/>
          <w:szCs w:val="22"/>
        </w:rPr>
        <w:t>;</w:t>
      </w:r>
    </w:p>
    <w:p w:rsidR="00EF73EF" w:rsidRPr="00EF73EF" w:rsidRDefault="00EF73EF" w:rsidP="00EF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73EF">
        <w:rPr>
          <w:rFonts w:ascii="Times New Roman" w:hAnsi="Times New Roman" w:cs="Times New Roman"/>
          <w:sz w:val="22"/>
          <w:szCs w:val="22"/>
        </w:rPr>
        <w:t>5) неработающие трудоспособные лица, осуществляющие уход за инвалидами 1 группы или престарелыми, нуждающимися в постороннем уходе, по заключению лечебного учреждения, а также за детьми инвалидами в возрасте до 18 лет.</w:t>
      </w:r>
    </w:p>
    <w:p w:rsidR="00985F28" w:rsidRPr="00985F28" w:rsidRDefault="00985F28" w:rsidP="00985F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F28">
        <w:rPr>
          <w:rFonts w:ascii="Times New Roman" w:hAnsi="Times New Roman" w:cs="Times New Roman"/>
        </w:rPr>
        <w:t>6) несовершеннолетние владельцы долей имущества.</w:t>
      </w:r>
    </w:p>
    <w:p w:rsidR="00985F28" w:rsidRPr="00985F28" w:rsidRDefault="00985F28" w:rsidP="00985F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F28">
        <w:rPr>
          <w:rFonts w:ascii="Times New Roman" w:hAnsi="Times New Roman" w:cs="Times New Roman"/>
        </w:rPr>
        <w:t>7) отцы, воспитывающие детей без матери, и одинокие матери, имеющие детей в возрасте до 16 лет или учащиеся общеобразовательных учреждений в возрасте до 18 лет, при наличии постановки на учет в органах социальной защиты населения.</w:t>
      </w:r>
    </w:p>
    <w:p w:rsidR="00985F28" w:rsidRPr="00985F28" w:rsidRDefault="00985F28" w:rsidP="00985F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F28">
        <w:rPr>
          <w:rFonts w:ascii="Times New Roman" w:hAnsi="Times New Roman" w:cs="Times New Roman"/>
        </w:rPr>
        <w:t>8) солдаты-</w:t>
      </w:r>
      <w:proofErr w:type="spellStart"/>
      <w:r w:rsidRPr="00985F28">
        <w:rPr>
          <w:rFonts w:ascii="Times New Roman" w:hAnsi="Times New Roman" w:cs="Times New Roman"/>
        </w:rPr>
        <w:t>срочники</w:t>
      </w:r>
      <w:proofErr w:type="spellEnd"/>
      <w:r w:rsidRPr="00985F28">
        <w:rPr>
          <w:rFonts w:ascii="Times New Roman" w:hAnsi="Times New Roman" w:cs="Times New Roman"/>
        </w:rPr>
        <w:t>, проходящие срочную военную службы в рядах Вооруженных сил Российской Федерации.</w:t>
      </w:r>
    </w:p>
    <w:p w:rsid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Динамика по налоговой базе и структуре начислений</w:t>
      </w:r>
    </w:p>
    <w:p w:rsidR="0010227F" w:rsidRPr="0010227F" w:rsidRDefault="0010227F" w:rsidP="00102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27F">
        <w:rPr>
          <w:rFonts w:ascii="Times New Roman" w:hAnsi="Times New Roman" w:cs="Times New Roman"/>
        </w:rPr>
        <w:t>по налогу на имущество физических лиц</w:t>
      </w:r>
    </w:p>
    <w:tbl>
      <w:tblPr>
        <w:tblStyle w:val="ad"/>
        <w:tblpPr w:leftFromText="180" w:rightFromText="180" w:vertAnchor="page" w:horzAnchor="margin" w:tblpY="2077"/>
        <w:tblW w:w="9606" w:type="dxa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6"/>
        <w:gridCol w:w="1559"/>
      </w:tblGrid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Темп роста (снижения), %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118,75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которыми исчислен налог и не применяющих налоговые льготы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117,93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которым предоставлены налоговые льготы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121,14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Количество строений, помещений и сооружений, учтенных в базе данных налоговых органов, единиц 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121,48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114,69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Общая инвентаризационная стоимость строений, помещений и сооружений,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по которым налог предъявлен к уплате, тыс. рублей (в 2016 году кадастровая стоимость)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693 257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1 049 983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151,46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Сумма налога, подлежащая уплате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бюджет, 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164,15</w:t>
            </w:r>
          </w:p>
        </w:tc>
      </w:tr>
      <w:tr w:rsidR="0010227F" w:rsidRPr="0010227F" w:rsidTr="0010227F"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 xml:space="preserve">в связи с предоставлением налогоплательщикам льгот по налогу </w:t>
            </w:r>
          </w:p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в соответствии с федеральным законодательством, тыс. рублей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75</w:t>
            </w:r>
          </w:p>
        </w:tc>
      </w:tr>
      <w:tr w:rsidR="0010227F" w:rsidRPr="0010227F" w:rsidTr="0010227F">
        <w:trPr>
          <w:trHeight w:val="878"/>
        </w:trPr>
        <w:tc>
          <w:tcPr>
            <w:tcW w:w="9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Льготы, установленных нормативными правовыми актами органов местного самоуправления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10227F" w:rsidRPr="0010227F" w:rsidRDefault="0010227F" w:rsidP="0010227F">
            <w:pPr>
              <w:rPr>
                <w:rFonts w:ascii="Times New Roman" w:hAnsi="Times New Roman" w:cs="Times New Roman"/>
              </w:rPr>
            </w:pPr>
            <w:r w:rsidRPr="0010227F">
              <w:rPr>
                <w:rFonts w:ascii="Times New Roman" w:hAnsi="Times New Roman" w:cs="Times New Roman"/>
              </w:rPr>
              <w:t>18,44</w:t>
            </w:r>
          </w:p>
        </w:tc>
      </w:tr>
    </w:tbl>
    <w:p w:rsidR="0010227F" w:rsidRDefault="0010227F" w:rsidP="00985F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0227F" w:rsidRPr="0010227F" w:rsidRDefault="0010227F" w:rsidP="0010227F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10227F">
        <w:rPr>
          <w:rFonts w:ascii="Times New Roman" w:hAnsi="Times New Roman" w:cs="Times New Roman"/>
        </w:rPr>
        <w:t>Учитывая вышеизложенное целесообразно сохранение установленных налоговых льгот по налогу на имущество физических лиц.</w:t>
      </w: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10227F" w:rsidRPr="0010227F" w:rsidRDefault="0010227F" w:rsidP="0010227F">
      <w:pPr>
        <w:rPr>
          <w:rFonts w:ascii="Times New Roman" w:hAnsi="Times New Roman" w:cs="Times New Roman"/>
        </w:rPr>
      </w:pPr>
    </w:p>
    <w:p w:rsidR="00EF73EF" w:rsidRPr="0010227F" w:rsidRDefault="00EF73EF" w:rsidP="0010227F">
      <w:pPr>
        <w:rPr>
          <w:rFonts w:ascii="Times New Roman" w:hAnsi="Times New Roman" w:cs="Times New Roman"/>
        </w:rPr>
      </w:pPr>
    </w:p>
    <w:sectPr w:rsidR="00EF73EF" w:rsidRPr="0010227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B5" w:rsidRDefault="00FA15B5" w:rsidP="00EF73EF">
      <w:pPr>
        <w:spacing w:after="0" w:line="240" w:lineRule="auto"/>
      </w:pPr>
      <w:r>
        <w:separator/>
      </w:r>
    </w:p>
  </w:endnote>
  <w:endnote w:type="continuationSeparator" w:id="0">
    <w:p w:rsidR="00FA15B5" w:rsidRDefault="00FA15B5" w:rsidP="00EF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B5" w:rsidRDefault="00FA15B5" w:rsidP="00EF73EF">
      <w:pPr>
        <w:spacing w:after="0" w:line="240" w:lineRule="auto"/>
      </w:pPr>
      <w:r>
        <w:separator/>
      </w:r>
    </w:p>
  </w:footnote>
  <w:footnote w:type="continuationSeparator" w:id="0">
    <w:p w:rsidR="00FA15B5" w:rsidRDefault="00FA15B5" w:rsidP="00EF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A" w:rsidRDefault="00981BE1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70A" w:rsidRDefault="00FA15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A" w:rsidRPr="009B56B7" w:rsidRDefault="00981BE1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7E5AAE">
      <w:rPr>
        <w:rStyle w:val="a5"/>
        <w:noProof/>
      </w:rPr>
      <w:t>4</w:t>
    </w:r>
    <w:r w:rsidRPr="009B56B7">
      <w:rPr>
        <w:rStyle w:val="a5"/>
      </w:rPr>
      <w:fldChar w:fldCharType="end"/>
    </w:r>
  </w:p>
  <w:p w:rsidR="00AD370A" w:rsidRDefault="00FA15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CAE"/>
    <w:multiLevelType w:val="hybridMultilevel"/>
    <w:tmpl w:val="2372139A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88037B6"/>
    <w:multiLevelType w:val="hybridMultilevel"/>
    <w:tmpl w:val="E76A794C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0E951785"/>
    <w:multiLevelType w:val="hybridMultilevel"/>
    <w:tmpl w:val="4216C03C"/>
    <w:lvl w:ilvl="0" w:tplc="57BEA8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C3F"/>
    <w:multiLevelType w:val="hybridMultilevel"/>
    <w:tmpl w:val="7386363A"/>
    <w:lvl w:ilvl="0" w:tplc="BE4024B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061A92"/>
    <w:multiLevelType w:val="hybridMultilevel"/>
    <w:tmpl w:val="360A77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C9525CC"/>
    <w:multiLevelType w:val="hybridMultilevel"/>
    <w:tmpl w:val="534E6AA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270F16AB"/>
    <w:multiLevelType w:val="hybridMultilevel"/>
    <w:tmpl w:val="9FE8F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95C"/>
    <w:multiLevelType w:val="hybridMultilevel"/>
    <w:tmpl w:val="3B6E5FD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ACF51C8"/>
    <w:multiLevelType w:val="hybridMultilevel"/>
    <w:tmpl w:val="4ED0D564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FFB356D"/>
    <w:multiLevelType w:val="hybridMultilevel"/>
    <w:tmpl w:val="CED8AF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227CE4"/>
    <w:multiLevelType w:val="hybridMultilevel"/>
    <w:tmpl w:val="F4F608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DA5D38"/>
    <w:multiLevelType w:val="hybridMultilevel"/>
    <w:tmpl w:val="CDCA73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473318E"/>
    <w:multiLevelType w:val="hybridMultilevel"/>
    <w:tmpl w:val="9B50C4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127DC6"/>
    <w:multiLevelType w:val="hybridMultilevel"/>
    <w:tmpl w:val="D90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7495E"/>
    <w:multiLevelType w:val="hybridMultilevel"/>
    <w:tmpl w:val="B6BA82D8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164A"/>
    <w:multiLevelType w:val="hybridMultilevel"/>
    <w:tmpl w:val="E8FCB330"/>
    <w:lvl w:ilvl="0" w:tplc="C86C5FE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D94781"/>
    <w:multiLevelType w:val="hybridMultilevel"/>
    <w:tmpl w:val="A5EA73B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534DF1"/>
    <w:multiLevelType w:val="hybridMultilevel"/>
    <w:tmpl w:val="9CCA9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F3096"/>
    <w:multiLevelType w:val="hybridMultilevel"/>
    <w:tmpl w:val="4CFE45D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0A56DE6"/>
    <w:multiLevelType w:val="hybridMultilevel"/>
    <w:tmpl w:val="B6B4CD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5234597"/>
    <w:multiLevelType w:val="hybridMultilevel"/>
    <w:tmpl w:val="E01E6C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B1520B"/>
    <w:multiLevelType w:val="hybridMultilevel"/>
    <w:tmpl w:val="C12A1012"/>
    <w:lvl w:ilvl="0" w:tplc="D520DA8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D4699"/>
    <w:multiLevelType w:val="hybridMultilevel"/>
    <w:tmpl w:val="689A3B0E"/>
    <w:lvl w:ilvl="0" w:tplc="1110D26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FE5957"/>
    <w:multiLevelType w:val="hybridMultilevel"/>
    <w:tmpl w:val="C07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855"/>
    <w:multiLevelType w:val="hybridMultilevel"/>
    <w:tmpl w:val="0CB01AD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93651BB"/>
    <w:multiLevelType w:val="hybridMultilevel"/>
    <w:tmpl w:val="43E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1"/>
  </w:num>
  <w:num w:numId="12">
    <w:abstractNumId w:val="15"/>
  </w:num>
  <w:num w:numId="13">
    <w:abstractNumId w:val="22"/>
  </w:num>
  <w:num w:numId="14">
    <w:abstractNumId w:val="17"/>
  </w:num>
  <w:num w:numId="15">
    <w:abstractNumId w:val="20"/>
  </w:num>
  <w:num w:numId="16">
    <w:abstractNumId w:val="16"/>
  </w:num>
  <w:num w:numId="17">
    <w:abstractNumId w:val="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13"/>
  </w:num>
  <w:num w:numId="23">
    <w:abstractNumId w:val="14"/>
  </w:num>
  <w:num w:numId="24">
    <w:abstractNumId w:val="2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E"/>
    <w:rsid w:val="0010227F"/>
    <w:rsid w:val="001B4318"/>
    <w:rsid w:val="001C4441"/>
    <w:rsid w:val="00785DCC"/>
    <w:rsid w:val="007E5AAE"/>
    <w:rsid w:val="00865E7E"/>
    <w:rsid w:val="00981BE1"/>
    <w:rsid w:val="00985F28"/>
    <w:rsid w:val="00B01706"/>
    <w:rsid w:val="00C56F2A"/>
    <w:rsid w:val="00D262E7"/>
    <w:rsid w:val="00D84A8A"/>
    <w:rsid w:val="00EF73EF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ACBD"/>
  <w15:docId w15:val="{AE7305BD-9DC0-4B0F-A9DB-F304258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65E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65E7E"/>
  </w:style>
  <w:style w:type="character" w:styleId="a6">
    <w:name w:val="Hyperlink"/>
    <w:rsid w:val="00865E7E"/>
    <w:rPr>
      <w:color w:val="0000FF"/>
      <w:u w:val="single"/>
    </w:rPr>
  </w:style>
  <w:style w:type="paragraph" w:styleId="a7">
    <w:name w:val="No Spacing"/>
    <w:link w:val="a8"/>
    <w:uiPriority w:val="1"/>
    <w:qFormat/>
    <w:rsid w:val="00865E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865E7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6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65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F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73EF"/>
  </w:style>
  <w:style w:type="character" w:styleId="ac">
    <w:name w:val="FollowedHyperlink"/>
    <w:basedOn w:val="a0"/>
    <w:uiPriority w:val="99"/>
    <w:semiHidden/>
    <w:unhideWhenUsed/>
    <w:rsid w:val="00B01706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022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AC9517B51E1FA239FDACC97A4D04422BEA2D4D3EAB321B84F4171F0EBF5Q1O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</cp:revision>
  <cp:lastPrinted>2017-07-20T07:50:00Z</cp:lastPrinted>
  <dcterms:created xsi:type="dcterms:W3CDTF">2018-07-23T03:37:00Z</dcterms:created>
  <dcterms:modified xsi:type="dcterms:W3CDTF">2018-07-23T03:41:00Z</dcterms:modified>
</cp:coreProperties>
</file>