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233B" w:rsidRDefault="00000000">
      <w:pPr>
        <w:pStyle w:val="Firstlineindent"/>
        <w:ind w:firstLine="0"/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1452963</wp:posOffset>
            </wp:positionH>
            <wp:positionV relativeFrom="paragraph">
              <wp:posOffset>-358197</wp:posOffset>
            </wp:positionV>
            <wp:extent cx="3488756" cy="2328483"/>
            <wp:effectExtent l="0" t="0" r="0" b="0"/>
            <wp:wrapTopAndBottom/>
            <wp:docPr id="2026683742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8756" cy="23284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AD233B" w:rsidRDefault="00000000">
      <w:pPr>
        <w:pStyle w:val="Firstlineindent"/>
        <w:ind w:firstLine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ПАМЯТКА ПО ЛЕЙКОЗУ КРС</w:t>
      </w:r>
    </w:p>
    <w:p w:rsidR="00AD233B" w:rsidRDefault="00AD233B">
      <w:pPr>
        <w:pStyle w:val="Firstlineindent"/>
        <w:ind w:firstLine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D233B" w:rsidRDefault="00000000">
      <w:pPr>
        <w:pStyle w:val="Firstlineindent"/>
        <w:ind w:firstLine="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Лейкоз крупного рогатого скота — это хроническая инфекционная, медленно протекающая болезнь опухолевой природы.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Источником инфекции является зараженное животное. Передача вируса происходит через кровь, молоко, биологические жидкости, инфицированные предметы ухода за поголовьем, при воспроизводстве стада от зараженных производителей. Заражение телят происходит в пренатальный (от матери к плоду) период, а также после рождения – через молоко. Заразившись однажды, животное остается ИНФИЦИРОВАННЫМ ПОЖИЗНЕННО!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Главным фактором распространения является совместное содержание здоровых животных с вирусоносителями лейкоза.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Характерные признаки болезни отсутствуют. Выявить животное -вирусоносителя возможно только в ходе лабораторных исследований. У животного в течение длительного периода развивается ухудшение общего состояния, нарастает быстрая утомляемость, ухудшение аппетита, снижение удоя, прогрессирует истощение, наблюдается атония </w:t>
      </w:r>
      <w:proofErr w:type="spellStart"/>
      <w:r>
        <w:rPr>
          <w:rFonts w:ascii="Times New Roman" w:hAnsi="Times New Roman"/>
          <w:sz w:val="28"/>
          <w:szCs w:val="28"/>
        </w:rPr>
        <w:t>преджелудков</w:t>
      </w:r>
      <w:proofErr w:type="spellEnd"/>
      <w:r>
        <w:rPr>
          <w:rFonts w:ascii="Times New Roman" w:hAnsi="Times New Roman"/>
          <w:sz w:val="28"/>
          <w:szCs w:val="28"/>
        </w:rPr>
        <w:t>, сменяющаяся диареей.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Эффективных методов лечения животных от данного заболевания не существует.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предупреждения появления лейкоза в хозяйстве необходимо соблюдать меры профилактики, владельцам ферм и личных подворий требуется придерживаться следующих правил: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предоставлять по требованию специалиста государственной ветеринарной службы животных для осмотра и отбора проб крови на лабораторные исследования;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извещать специалистов государственной ветеринарной службы обо всех случаях заболевания или гибели восприимчивых животных, а также об изменениях в их поведении, указывающих на возможное заболевание лейкозом;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приобретать животных только при наличии на них ветеринарных сопроводительных документов и только в благополучных по инфекционным заболеваниям хозяйствах;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перед тем, как совершить покупку крупного рогатого скота, необходимо сообщить об этом государственную ветеринарную службу с целью всестороннего обследования, включая лейкоз, и постановки планируемого к покупке животного на </w:t>
      </w:r>
      <w:r>
        <w:rPr>
          <w:rFonts w:ascii="Times New Roman" w:hAnsi="Times New Roman"/>
          <w:sz w:val="28"/>
          <w:szCs w:val="28"/>
        </w:rPr>
        <w:lastRenderedPageBreak/>
        <w:t>карантин;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допускать к воспроизводству молодняк, рожденный от инфицированных коров;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выпасе и водопое не допускать смешивания здоровых и инфицированных животных, не допускать смешивания животных из разных стад.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при наличии оснований для подозрения на лейкоз, владельцы восприимчивых животных обязаны: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принимать меры по изоляции подозреваемых в заболевании восприимчивых животных, а также животных, которые могли контактировать с ними;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выполнять требования специалистов государственной ветеринарной службы о проведении противоэпизоотических мероприятий в хозяйстве, в которых содержатся восприимчивые животные.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1 сентября 2021 года вступили в силу Ветеринарные правила осуществления профилактических, диагностических, ограничительных и иных мероприятий, установления и отмены карантина и иных ограничений, направленных на предотвращение распространения и ликвидацию очагов лейкоза крупного рогатого скота, утвержденные приказом министерства сельского хозяйства Российской Федерации от 24 марта 2021 г. № 156. Согласно пункта 33 указанных правил в хозяйствах, где имеются больные </w:t>
      </w:r>
      <w:proofErr w:type="gramStart"/>
      <w:r>
        <w:rPr>
          <w:rFonts w:ascii="Times New Roman" w:hAnsi="Times New Roman"/>
          <w:sz w:val="28"/>
          <w:szCs w:val="28"/>
        </w:rPr>
        <w:t>лейкозом</w:t>
      </w:r>
      <w:proofErr w:type="gramEnd"/>
      <w:r>
        <w:rPr>
          <w:rFonts w:ascii="Times New Roman" w:hAnsi="Times New Roman"/>
          <w:sz w:val="28"/>
          <w:szCs w:val="28"/>
        </w:rPr>
        <w:t xml:space="preserve"> животные ЗАПРЕЩАЕТСЯ: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вывоз (вывод) восприимчивых животных, за исключением вывоза восприимчивых животных для убоя на убойные предприятия или специально предназначенные для этих целей убойные пункты или вывоза в резервации;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посещение территории посторонними лицами, кроме персонала, работающего в данном хозяйстве, а также специалистов государственной ветеринарной службы и привлеченного персонала для ликвидации данного эпизоотического очага;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использование быков - производителей для случки;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совместное содержание в помещениях или на выгульных площадках инфицированных, больных и здоровых восприимчивых животных;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совместное доение больных, инфицированных и здоровых восприимчивых животных;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использование для доения больных, инфицированных и здоровых восприимчивых животных одних и тех же доильных аппаратов, не прошедших дезинфекцию в соответствии с абзацем третьим пункта 39 настоящих Правил;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сбор в общую емкость молока при доении больных, инфицированных и здоровых восприимчивых животных;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использование больных, инфицированных восприимчивых животных и полученного от них приплода для воспроизводства стада;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использование молозива от больных, инфицированных коров для выпойки телят;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отелов здоровых и больных животных в одном помещении (родильном отделении);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совместный выпас больных, инфицированных и здоровых восприимчивых животных.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владельцам данных хозяйств НЕОБХОДИМО ОБЕСПЕЧИТЬ: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изолированное содержание и направление на убой больных восприимчивых </w:t>
      </w:r>
      <w:r>
        <w:rPr>
          <w:rFonts w:ascii="Times New Roman" w:hAnsi="Times New Roman"/>
          <w:sz w:val="28"/>
          <w:szCs w:val="28"/>
        </w:rPr>
        <w:lastRenderedPageBreak/>
        <w:t>животных в течение 15 календарных дней с даты установления диагноза на лейкоз;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оборудование дезинфекционных ковриков или ванночек на входе (выходе) и въезде (выезде) на территорию (с территории) хозяйства;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смену одежды, обуви при входе и выходе с территории хозяйства;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дезинфекции одежды, обуви при выходе с территории хозяйства;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складирование навоза в штабеля для биотермического обеззараживания или осуществление химического обеззараживания навоза;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дезинфекционную обработку всей поверхности транспортных средств при выезде с территории хозяйства;</w:t>
      </w:r>
    </w:p>
    <w:p w:rsidR="00AD233B" w:rsidRDefault="00000000">
      <w:pPr>
        <w:pStyle w:val="Firstlineinden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периодическую обработку помещений, где содержатся восприимчивые животные, от клещей и кровососущих насекомых.</w:t>
      </w:r>
    </w:p>
    <w:p w:rsidR="00AD233B" w:rsidRDefault="00AD233B">
      <w:pPr>
        <w:pStyle w:val="Firstlineindent"/>
        <w:rPr>
          <w:rFonts w:ascii="Times New Roman" w:hAnsi="Times New Roman"/>
          <w:sz w:val="28"/>
          <w:szCs w:val="28"/>
        </w:rPr>
      </w:pPr>
    </w:p>
    <w:p w:rsidR="00AD233B" w:rsidRDefault="00AD233B">
      <w:pPr>
        <w:pStyle w:val="Firstlineindent"/>
        <w:rPr>
          <w:rFonts w:ascii="Times New Roman" w:hAnsi="Times New Roman"/>
          <w:sz w:val="28"/>
          <w:szCs w:val="28"/>
        </w:rPr>
      </w:pPr>
    </w:p>
    <w:p w:rsidR="00AD233B" w:rsidRDefault="00AD233B">
      <w:pPr>
        <w:pStyle w:val="Firstlineindent"/>
        <w:rPr>
          <w:rFonts w:ascii="Times New Roman" w:hAnsi="Times New Roman"/>
          <w:sz w:val="28"/>
          <w:szCs w:val="28"/>
        </w:rPr>
      </w:pPr>
    </w:p>
    <w:p w:rsidR="00AD233B" w:rsidRDefault="00000000">
      <w:pPr>
        <w:pStyle w:val="Standard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Контактные телефоны:</w:t>
      </w:r>
    </w:p>
    <w:p w:rsidR="00AD233B" w:rsidRDefault="00AD233B">
      <w:pPr>
        <w:pStyle w:val="Standard"/>
        <w:jc w:val="both"/>
        <w:rPr>
          <w:rFonts w:ascii="Times New Roman" w:hAnsi="Times New Roman"/>
          <w:szCs w:val="28"/>
        </w:rPr>
      </w:pPr>
    </w:p>
    <w:p w:rsidR="00AD233B" w:rsidRDefault="00000000">
      <w:pPr>
        <w:pStyle w:val="Standard"/>
        <w:ind w:firstLine="73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Ветслужба ХМАО-Югры.  Отдел противоэпизоотических мероприятий, мониторинга инфекционных болезней животных Тел.: (3467) 30-01-44, Факс: (3467) 30-01-44;</w:t>
      </w:r>
    </w:p>
    <w:p w:rsidR="00AD233B" w:rsidRDefault="00000000">
      <w:pPr>
        <w:pStyle w:val="Standard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Тел.: (3467) 32-29-91, Факс: (3467) 32-29-91</w:t>
      </w:r>
    </w:p>
    <w:p w:rsidR="00AD233B" w:rsidRDefault="00AD233B">
      <w:pPr>
        <w:pStyle w:val="Standard"/>
        <w:jc w:val="both"/>
        <w:rPr>
          <w:rFonts w:ascii="Times New Roman" w:hAnsi="Times New Roman"/>
          <w:szCs w:val="28"/>
        </w:rPr>
      </w:pPr>
    </w:p>
    <w:p w:rsidR="00AD233B" w:rsidRDefault="00000000">
      <w:pPr>
        <w:pStyle w:val="Standard"/>
        <w:spacing w:before="1"/>
        <w:ind w:left="102" w:right="104" w:firstLine="707"/>
        <w:jc w:val="both"/>
      </w:pPr>
      <w:r>
        <w:rPr>
          <w:rFonts w:ascii="Times New Roman" w:hAnsi="Times New Roman"/>
          <w:szCs w:val="28"/>
        </w:rPr>
        <w:t xml:space="preserve">Управление Россельхознадзора по Тюменской области, ЯНАО </w:t>
      </w:r>
      <w:proofErr w:type="gramStart"/>
      <w:r>
        <w:rPr>
          <w:rFonts w:ascii="Times New Roman" w:hAnsi="Times New Roman"/>
          <w:szCs w:val="28"/>
        </w:rPr>
        <w:t>и  ХМАО</w:t>
      </w:r>
      <w:proofErr w:type="gramEnd"/>
      <w:r>
        <w:rPr>
          <w:rFonts w:ascii="Times New Roman" w:hAnsi="Times New Roman"/>
          <w:szCs w:val="28"/>
        </w:rPr>
        <w:t>.  Ханты-Мансийский отдел Тел.: (3467) 35-01-24, Факс: (3467) 35-01-24.</w:t>
      </w:r>
    </w:p>
    <w:sectPr w:rsidR="00AD233B">
      <w:headerReference w:type="default" r:id="rId8"/>
      <w:footerReference w:type="default" r:id="rId9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0A66" w:rsidRDefault="00410A66">
      <w:r>
        <w:separator/>
      </w:r>
    </w:p>
  </w:endnote>
  <w:endnote w:type="continuationSeparator" w:id="0">
    <w:p w:rsidR="00410A66" w:rsidRDefault="00410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erif">
    <w:altName w:val="Arial"/>
    <w:charset w:val="00"/>
    <w:family w:val="roman"/>
    <w:pitch w:val="variable"/>
  </w:font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0A66" w:rsidRDefault="00410A66">
      <w:r>
        <w:rPr>
          <w:color w:val="000000"/>
        </w:rPr>
        <w:separator/>
      </w:r>
    </w:p>
  </w:footnote>
  <w:footnote w:type="continuationSeparator" w:id="0">
    <w:p w:rsidR="00410A66" w:rsidRDefault="00410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21A"/>
    <w:multiLevelType w:val="multilevel"/>
    <w:tmpl w:val="0D667D64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1" w15:restartNumberingAfterBreak="0">
    <w:nsid w:val="07920A5F"/>
    <w:multiLevelType w:val="multilevel"/>
    <w:tmpl w:val="1CAC6930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2" w15:restartNumberingAfterBreak="0">
    <w:nsid w:val="100C56B5"/>
    <w:multiLevelType w:val="multilevel"/>
    <w:tmpl w:val="430C9B28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3" w15:restartNumberingAfterBreak="0">
    <w:nsid w:val="1C7A3D27"/>
    <w:multiLevelType w:val="multilevel"/>
    <w:tmpl w:val="7A604824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4" w15:restartNumberingAfterBreak="0">
    <w:nsid w:val="1F9D7E59"/>
    <w:multiLevelType w:val="multilevel"/>
    <w:tmpl w:val="BED8EB18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5" w15:restartNumberingAfterBreak="0">
    <w:nsid w:val="20B03064"/>
    <w:multiLevelType w:val="multilevel"/>
    <w:tmpl w:val="36049D9A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6" w15:restartNumberingAfterBreak="0">
    <w:nsid w:val="2BBD3901"/>
    <w:multiLevelType w:val="multilevel"/>
    <w:tmpl w:val="3DA2C182"/>
    <w:styleLink w:val="a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7" w15:restartNumberingAfterBreak="0">
    <w:nsid w:val="416D3FDF"/>
    <w:multiLevelType w:val="multilevel"/>
    <w:tmpl w:val="1FAA228E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8" w15:restartNumberingAfterBreak="0">
    <w:nsid w:val="429D3338"/>
    <w:multiLevelType w:val="multilevel"/>
    <w:tmpl w:val="58E6E384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9" w15:restartNumberingAfterBreak="0">
    <w:nsid w:val="475541EB"/>
    <w:multiLevelType w:val="multilevel"/>
    <w:tmpl w:val="37867956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10" w15:restartNumberingAfterBreak="0">
    <w:nsid w:val="5C130A9A"/>
    <w:multiLevelType w:val="multilevel"/>
    <w:tmpl w:val="CECE6C6C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11" w15:restartNumberingAfterBreak="0">
    <w:nsid w:val="61055577"/>
    <w:multiLevelType w:val="multilevel"/>
    <w:tmpl w:val="E38AB5D4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12" w15:restartNumberingAfterBreak="0">
    <w:nsid w:val="7C26137D"/>
    <w:multiLevelType w:val="multilevel"/>
    <w:tmpl w:val="C1542A06"/>
    <w:styleLink w:val="a0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num w:numId="1" w16cid:durableId="879824643">
    <w:abstractNumId w:val="9"/>
  </w:num>
  <w:num w:numId="2" w16cid:durableId="1440220564">
    <w:abstractNumId w:val="5"/>
  </w:num>
  <w:num w:numId="3" w16cid:durableId="328825123">
    <w:abstractNumId w:val="7"/>
  </w:num>
  <w:num w:numId="4" w16cid:durableId="1784766251">
    <w:abstractNumId w:val="1"/>
  </w:num>
  <w:num w:numId="5" w16cid:durableId="1914897461">
    <w:abstractNumId w:val="8"/>
  </w:num>
  <w:num w:numId="6" w16cid:durableId="1646348922">
    <w:abstractNumId w:val="0"/>
  </w:num>
  <w:num w:numId="7" w16cid:durableId="1685324817">
    <w:abstractNumId w:val="10"/>
  </w:num>
  <w:num w:numId="8" w16cid:durableId="1953591811">
    <w:abstractNumId w:val="3"/>
  </w:num>
  <w:num w:numId="9" w16cid:durableId="1172330233">
    <w:abstractNumId w:val="4"/>
  </w:num>
  <w:num w:numId="10" w16cid:durableId="297300919">
    <w:abstractNumId w:val="11"/>
  </w:num>
  <w:num w:numId="11" w16cid:durableId="1577084287">
    <w:abstractNumId w:val="2"/>
  </w:num>
  <w:num w:numId="12" w16cid:durableId="1430658213">
    <w:abstractNumId w:val="12"/>
  </w:num>
  <w:num w:numId="13" w16cid:durableId="811000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D233B"/>
    <w:rsid w:val="00410A66"/>
    <w:rsid w:val="0053693E"/>
    <w:rsid w:val="00AD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3F3D2-DEEB-429C-B4DE-7D303E2F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uppressAutoHyphens/>
    </w:pPr>
  </w:style>
  <w:style w:type="paragraph" w:styleId="10">
    <w:name w:val="heading 1"/>
    <w:basedOn w:val="Heading"/>
    <w:next w:val="Firstlineindent"/>
    <w:uiPriority w:val="9"/>
    <w:qFormat/>
    <w:pPr>
      <w:outlineLvl w:val="0"/>
    </w:pPr>
  </w:style>
  <w:style w:type="paragraph" w:styleId="2">
    <w:name w:val="heading 2"/>
    <w:basedOn w:val="Heading"/>
    <w:next w:val="Textbody"/>
    <w:uiPriority w:val="9"/>
    <w:semiHidden/>
    <w:unhideWhenUsed/>
    <w:qFormat/>
    <w:pPr>
      <w:outlineLvl w:val="1"/>
    </w:pPr>
  </w:style>
  <w:style w:type="paragraph" w:styleId="3">
    <w:name w:val="heading 3"/>
    <w:basedOn w:val="Heading"/>
    <w:next w:val="Textbody"/>
    <w:uiPriority w:val="9"/>
    <w:semiHidden/>
    <w:unhideWhenUsed/>
    <w:qFormat/>
    <w:pPr>
      <w:outlineLvl w:val="2"/>
    </w:pPr>
  </w:style>
  <w:style w:type="paragraph" w:styleId="4">
    <w:name w:val="heading 4"/>
    <w:basedOn w:val="Heading"/>
    <w:next w:val="Textbody"/>
    <w:uiPriority w:val="9"/>
    <w:semiHidden/>
    <w:unhideWhenUsed/>
    <w:qFormat/>
    <w:pPr>
      <w:outlineLvl w:val="3"/>
    </w:pPr>
  </w:style>
  <w:style w:type="paragraph" w:styleId="5">
    <w:name w:val="heading 5"/>
    <w:basedOn w:val="Heading"/>
    <w:next w:val="Textbody"/>
    <w:uiPriority w:val="9"/>
    <w:semiHidden/>
    <w:unhideWhenUsed/>
    <w:qFormat/>
    <w:pPr>
      <w:outlineLvl w:val="4"/>
    </w:pPr>
  </w:style>
  <w:style w:type="paragraph" w:styleId="6">
    <w:name w:val="heading 6"/>
    <w:basedOn w:val="Heading"/>
    <w:next w:val="Textbody"/>
    <w:uiPriority w:val="9"/>
    <w:semiHidden/>
    <w:unhideWhenUsed/>
    <w:qFormat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suppressAutoHyphens/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uiPriority w:val="10"/>
    <w:qFormat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uiPriority w:val="11"/>
    <w:qFormat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4797</Characters>
  <Application>Microsoft Office Word</Application>
  <DocSecurity>0</DocSecurity>
  <Lines>39</Lines>
  <Paragraphs>11</Paragraphs>
  <ScaleCrop>false</ScaleCrop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Коскина Елена Александровна</dc:creator>
  <cp:lastModifiedBy>Дарья Григоренко</cp:lastModifiedBy>
  <cp:revision>2</cp:revision>
  <dcterms:created xsi:type="dcterms:W3CDTF">2023-09-06T06:16:00Z</dcterms:created>
  <dcterms:modified xsi:type="dcterms:W3CDTF">2023-09-06T06:16:00Z</dcterms:modified>
</cp:coreProperties>
</file>